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t xml:space="preserve">Kayla Arce</w:t>
      </w:r>
    </w:p>
    <w:p w:rsidR="00000000" w:rsidDel="00000000" w:rsidP="00000000" w:rsidRDefault="00000000" w:rsidRPr="00000000">
      <w:pPr>
        <w:contextualSpacing w:val="0"/>
        <w:jc w:val="right"/>
      </w:pPr>
      <w:r w:rsidDel="00000000" w:rsidR="00000000" w:rsidRPr="00000000">
        <w:rPr>
          <w:rtl w:val="0"/>
        </w:rPr>
        <w:t xml:space="preserve">4/29/16</w:t>
      </w:r>
    </w:p>
    <w:p w:rsidR="00000000" w:rsidDel="00000000" w:rsidP="00000000" w:rsidRDefault="00000000" w:rsidRPr="00000000">
      <w:pPr>
        <w:contextualSpacing w:val="0"/>
        <w:jc w:val="right"/>
      </w:pPr>
      <w:r w:rsidDel="00000000" w:rsidR="00000000" w:rsidRPr="00000000">
        <w:rPr>
          <w:rtl w:val="0"/>
        </w:rPr>
        <w:t xml:space="preserve">Biostatistics</w:t>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Motor Vehicle Deaths: 2000-2002 vs 2012-2014</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rtl w:val="0"/>
        </w:rPr>
        <w:tab/>
        <w:t xml:space="preserve">Motor vehicle related accidents continue are a major cause of death all across the United States. This data compiles the death rates of motor vehicle accidents from 10 randomly selected states. The cause of deaths includes accidental, suicide, homicide, and undetermined. This data compares the death rates from the years 2000 - 2002 to the death rates from 2012 - 2014. These datasets will be tested in order to determine whether the rate of motor vehicle death has increased or decreased over the years.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Data</w:t>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420" w:hRule="atLeast"/>
        </w:trPr>
        <w:tc>
          <w:tcPr>
            <w:gridSpan w:val="4"/>
            <w:tcBorders>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Years 2000-2002</w:t>
            </w:r>
          </w:p>
        </w:tc>
      </w:tr>
      <w:tr>
        <w:tc>
          <w:tcPr>
            <w:tcBorders>
              <w:top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State</w:t>
            </w:r>
          </w:p>
        </w:tc>
        <w:tc>
          <w:tcPr>
            <w:tcBorders>
              <w:top w:color="000000" w:space="0" w:sz="12" w:val="single"/>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Number of Deaths</w:t>
            </w:r>
          </w:p>
        </w:tc>
        <w:tc>
          <w:tcPr>
            <w:tcBorders>
              <w:top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Population</w:t>
            </w:r>
          </w:p>
        </w:tc>
        <w:tc>
          <w:tcPr>
            <w:tcBorders>
              <w:top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Rate per 100000</w:t>
            </w:r>
          </w:p>
        </w:tc>
      </w:tr>
      <w:tr>
        <w:tc>
          <w:tcPr>
            <w:tcBorders>
              <w:top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Indiana</w:t>
            </w:r>
          </w:p>
        </w:tc>
        <w:tc>
          <w:tcPr>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916</w:t>
            </w:r>
          </w:p>
        </w:tc>
        <w:tc>
          <w:tcPr>
            <w:tcBorders>
              <w:top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6,121,404</w:t>
            </w:r>
          </w:p>
        </w:tc>
        <w:tc>
          <w:tcPr>
            <w:tcBorders>
              <w:top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15.0</w:t>
            </w:r>
            <w:r w:rsidDel="00000000" w:rsidR="00000000" w:rsidRPr="00000000">
              <w:rPr>
                <w:rtl w:val="0"/>
              </w:rPr>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Alabama</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1,048</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4,464,941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23.5</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North Dakota</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104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639,810</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16.2</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Hawaii</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121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1,225,699</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9.9</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Kansas</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520</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2,701,372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19.2</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Connecticut</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328</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3,432,383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9.6</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Rhode Island</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89</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1,057,152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8.5</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South Dakota</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168</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757,612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22.1</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Arkansas</w:t>
            </w:r>
          </w:p>
        </w:tc>
        <w:tc>
          <w:tcPr>
            <w:tcBorders>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659</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2,690,299</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24.5</w:t>
            </w:r>
          </w:p>
        </w:tc>
      </w:tr>
      <w:tr>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California</w:t>
            </w:r>
          </w:p>
        </w:tc>
        <w:tc>
          <w:tcPr>
            <w:tcBorders>
              <w:left w:color="000000" w:space="0" w:sz="12" w:val="single"/>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3,859</w:t>
            </w:r>
          </w:p>
        </w:tc>
        <w:tc>
          <w:tcPr>
            <w:tcBorders>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34,407,650</w:t>
            </w:r>
          </w:p>
        </w:tc>
        <w:tc>
          <w:tcPr>
            <w:tcBorders>
              <w:bottom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11.2</w:t>
            </w:r>
          </w:p>
        </w:tc>
      </w:tr>
      <w:tr>
        <w:tc>
          <w:tcPr>
            <w:tcBorders>
              <w:top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Average</w:t>
            </w:r>
          </w:p>
        </w:tc>
        <w:tc>
          <w:tcPr>
            <w:tcBorders>
              <w:top w:color="000000" w:space="0" w:sz="12" w:val="single"/>
              <w:lef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r>
          </w:p>
        </w:tc>
        <w:tc>
          <w:tcPr>
            <w:tcBorders>
              <w:top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r>
          </w:p>
        </w:tc>
        <w:tc>
          <w:tcPr>
            <w:tcBorders>
              <w:top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15.97</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trHeight w:val="420" w:hRule="atLeast"/>
        </w:trPr>
        <w:tc>
          <w:tcPr>
            <w:gridSpan w:val="4"/>
            <w:tcBorders>
              <w:bottom w:color="000000" w:space="0" w:sz="12" w:val="single"/>
            </w:tcBorders>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Years 2012-2014</w:t>
            </w:r>
          </w:p>
        </w:tc>
      </w:tr>
      <w:tr>
        <w:tc>
          <w:tcPr>
            <w:tcBorders>
              <w:top w:color="000000" w:space="0" w:sz="12" w:val="single"/>
              <w:bottom w:color="000000" w:space="0" w:sz="12" w:val="single"/>
              <w:right w:color="000000" w:space="0" w:sz="12" w:val="single"/>
            </w:tcBorders>
          </w:tcPr>
          <w:p w:rsidR="00000000" w:rsidDel="00000000" w:rsidP="00000000" w:rsidRDefault="00000000" w:rsidRPr="00000000">
            <w:pPr>
              <w:spacing w:line="240" w:lineRule="auto"/>
              <w:contextualSpacing w:val="0"/>
            </w:pPr>
            <w:r w:rsidDel="00000000" w:rsidR="00000000" w:rsidRPr="00000000">
              <w:rPr>
                <w:rtl w:val="0"/>
              </w:rPr>
              <w:t xml:space="preserve">State</w:t>
            </w:r>
          </w:p>
        </w:tc>
        <w:tc>
          <w:tcPr>
            <w:tcBorders>
              <w:top w:color="000000" w:space="0" w:sz="12" w:val="single"/>
              <w:left w:color="000000" w:space="0" w:sz="12" w:val="single"/>
              <w:bottom w:color="000000" w:space="0" w:sz="12" w:val="single"/>
            </w:tcBorders>
          </w:tcPr>
          <w:p w:rsidR="00000000" w:rsidDel="00000000" w:rsidP="00000000" w:rsidRDefault="00000000" w:rsidRPr="00000000">
            <w:pPr>
              <w:spacing w:line="240" w:lineRule="auto"/>
              <w:contextualSpacing w:val="0"/>
            </w:pPr>
            <w:r w:rsidDel="00000000" w:rsidR="00000000" w:rsidRPr="00000000">
              <w:rPr>
                <w:rtl w:val="0"/>
              </w:rPr>
              <w:t xml:space="preserve">Number of Deaths</w:t>
            </w:r>
          </w:p>
        </w:tc>
        <w:tc>
          <w:tcPr>
            <w:tcBorders>
              <w:top w:color="000000" w:space="0" w:sz="12" w:val="single"/>
              <w:bottom w:color="000000" w:space="0" w:sz="12" w:val="single"/>
            </w:tcBorders>
          </w:tcPr>
          <w:p w:rsidR="00000000" w:rsidDel="00000000" w:rsidP="00000000" w:rsidRDefault="00000000" w:rsidRPr="00000000">
            <w:pPr>
              <w:spacing w:line="240" w:lineRule="auto"/>
              <w:contextualSpacing w:val="0"/>
            </w:pPr>
            <w:r w:rsidDel="00000000" w:rsidR="00000000" w:rsidRPr="00000000">
              <w:rPr>
                <w:rtl w:val="0"/>
              </w:rPr>
              <w:t xml:space="preserve">Population</w:t>
            </w:r>
          </w:p>
        </w:tc>
        <w:tc>
          <w:tcPr>
            <w:tcBorders>
              <w:top w:color="000000" w:space="0" w:sz="12" w:val="single"/>
              <w:bottom w:color="000000" w:space="0" w:sz="12" w:val="single"/>
            </w:tcBorders>
          </w:tcPr>
          <w:p w:rsidR="00000000" w:rsidDel="00000000" w:rsidP="00000000" w:rsidRDefault="00000000" w:rsidRPr="00000000">
            <w:pPr>
              <w:spacing w:line="240" w:lineRule="auto"/>
              <w:contextualSpacing w:val="0"/>
            </w:pPr>
            <w:r w:rsidDel="00000000" w:rsidR="00000000" w:rsidRPr="00000000">
              <w:rPr>
                <w:rtl w:val="0"/>
              </w:rPr>
              <w:t xml:space="preserve">Rate per 100000</w:t>
            </w:r>
          </w:p>
        </w:tc>
      </w:tr>
      <w:tr>
        <w:tc>
          <w:tcPr>
            <w:tcBorders>
              <w:top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Indiana</w:t>
            </w:r>
          </w:p>
        </w:tc>
        <w:tc>
          <w:tcPr>
            <w:tcBorders>
              <w:top w:color="000000" w:space="0" w:sz="12" w:val="single"/>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763</w:t>
            </w:r>
          </w:p>
        </w:tc>
        <w:tc>
          <w:tcPr>
            <w:tcBorders>
              <w:top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6,568,364</w:t>
            </w:r>
          </w:p>
        </w:tc>
        <w:tc>
          <w:tcPr>
            <w:tcBorders>
              <w:top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11.5</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Alabama</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858</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4,835,041</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17.8</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North Dakota</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111</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720,834</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15.4</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Hawaii</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112</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1,405,309</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7.9</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Kansas</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371</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2,894,628</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12.6</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Connecticut</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278</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3,594,368</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7.5</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Rhode Island</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68</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1,052,325</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6.2</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South Dakota</w:t>
            </w:r>
          </w:p>
        </w:tc>
        <w:tc>
          <w:tcPr>
            <w:tcBorders>
              <w:left w:color="000000" w:space="0" w:sz="12" w:val="single"/>
            </w:tcBorders>
          </w:tcPr>
          <w:p w:rsidR="00000000" w:rsidDel="00000000" w:rsidP="00000000" w:rsidRDefault="00000000" w:rsidRPr="00000000">
            <w:pPr>
              <w:spacing w:line="240" w:lineRule="auto"/>
              <w:contextualSpacing w:val="0"/>
              <w:jc w:val="center"/>
            </w:pPr>
            <w:r w:rsidDel="00000000" w:rsidR="00000000" w:rsidRPr="00000000">
              <w:rPr>
                <w:rtl w:val="0"/>
              </w:rPr>
              <w:t xml:space="preserve">141</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843,802</w:t>
            </w:r>
          </w:p>
        </w:tc>
        <w:tc>
          <w:tcPr/>
          <w:p w:rsidR="00000000" w:rsidDel="00000000" w:rsidP="00000000" w:rsidRDefault="00000000" w:rsidRPr="00000000">
            <w:pPr>
              <w:spacing w:line="240" w:lineRule="auto"/>
              <w:contextualSpacing w:val="0"/>
              <w:jc w:val="center"/>
            </w:pPr>
            <w:r w:rsidDel="00000000" w:rsidR="00000000" w:rsidRPr="00000000">
              <w:rPr>
                <w:rtl w:val="0"/>
              </w:rPr>
              <w:t xml:space="preserve">16.7</w:t>
            </w:r>
          </w:p>
        </w:tc>
      </w:tr>
      <w:tr>
        <w:tc>
          <w:tcPr>
            <w:tcBorders>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Arkansas</w:t>
            </w:r>
          </w:p>
        </w:tc>
        <w:tc>
          <w:tcPr>
            <w:tcBorders>
              <w:left w:color="000000" w:space="0" w:sz="12" w:val="single"/>
            </w:tcBorders>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533</w:t>
            </w:r>
          </w:p>
        </w:tc>
        <w:tc>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2,958,291</w:t>
            </w:r>
          </w:p>
        </w:tc>
        <w:tc>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18.0</w:t>
            </w:r>
          </w:p>
        </w:tc>
      </w:tr>
      <w:tr>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California</w:t>
            </w:r>
          </w:p>
        </w:tc>
        <w:tc>
          <w:tcPr>
            <w:tcBorders>
              <w:left w:color="000000" w:space="0" w:sz="12" w:val="single"/>
              <w:bottom w:color="000000" w:space="0" w:sz="12" w:val="single"/>
            </w:tcBorders>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3,188</w:t>
            </w:r>
          </w:p>
        </w:tc>
        <w:tc>
          <w:tcPr>
            <w:tcBorders>
              <w:bottom w:color="000000" w:space="0" w:sz="12" w:val="single"/>
            </w:tcBorders>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38,392,150</w:t>
            </w:r>
          </w:p>
        </w:tc>
        <w:tc>
          <w:tcPr>
            <w:tcBorders>
              <w:bottom w:color="000000" w:space="0" w:sz="12" w:val="single"/>
            </w:tcBorders>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8.3</w:t>
            </w:r>
          </w:p>
        </w:tc>
      </w:tr>
      <w:tr>
        <w:tc>
          <w:tcPr>
            <w:tcBorders>
              <w:top w:color="000000" w:space="0" w:sz="12" w:val="single"/>
              <w:right w:color="000000" w:space="0" w:sz="12" w:val="single"/>
            </w:tcBorders>
          </w:tcPr>
          <w:p w:rsidR="00000000" w:rsidDel="00000000" w:rsidP="00000000" w:rsidRDefault="00000000" w:rsidRPr="00000000">
            <w:pPr>
              <w:widowControl w:val="0"/>
              <w:spacing w:line="240" w:lineRule="auto"/>
              <w:contextualSpacing w:val="0"/>
            </w:pPr>
            <w:r w:rsidDel="00000000" w:rsidR="00000000" w:rsidRPr="00000000">
              <w:rPr>
                <w:rtl w:val="0"/>
              </w:rPr>
              <w:t xml:space="preserve">Average</w:t>
            </w:r>
          </w:p>
        </w:tc>
        <w:tc>
          <w:tcPr>
            <w:tcBorders>
              <w:top w:color="000000" w:space="0" w:sz="12" w:val="single"/>
              <w:left w:color="000000" w:space="0" w:sz="12" w:val="single"/>
            </w:tcBorders>
          </w:tcPr>
          <w:p w:rsidR="00000000" w:rsidDel="00000000" w:rsidP="00000000" w:rsidRDefault="00000000" w:rsidRPr="00000000">
            <w:pPr>
              <w:widowControl w:val="0"/>
              <w:spacing w:line="240" w:lineRule="auto"/>
              <w:contextualSpacing w:val="0"/>
            </w:pPr>
            <w:r w:rsidDel="00000000" w:rsidR="00000000" w:rsidRPr="00000000">
              <w:rPr>
                <w:rtl w:val="0"/>
              </w:rPr>
            </w:r>
          </w:p>
        </w:tc>
        <w:tc>
          <w:tcPr>
            <w:tcBorders>
              <w:top w:color="000000" w:space="0" w:sz="12" w:val="single"/>
            </w:tcBorders>
          </w:tcPr>
          <w:p w:rsidR="00000000" w:rsidDel="00000000" w:rsidP="00000000" w:rsidRDefault="00000000" w:rsidRPr="00000000">
            <w:pPr>
              <w:widowControl w:val="0"/>
              <w:spacing w:line="240" w:lineRule="auto"/>
              <w:contextualSpacing w:val="0"/>
            </w:pPr>
            <w:r w:rsidDel="00000000" w:rsidR="00000000" w:rsidRPr="00000000">
              <w:rPr>
                <w:rtl w:val="0"/>
              </w:rPr>
            </w:r>
          </w:p>
        </w:tc>
        <w:tc>
          <w:tcPr>
            <w:tcBorders>
              <w:top w:color="000000" w:space="0" w:sz="12" w:val="single"/>
            </w:tcBorders>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12.19</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are bar plots which show the death rates in each state in both year ranges. </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2900363" cy="2242453"/>
            <wp:effectExtent b="0" l="0" r="0" t="0"/>
            <wp:wrapTopAndBottom distB="114300" distT="114300"/>
            <wp:docPr descr="2000-2002.jpeg" id="1" name="image02.jpg"/>
            <a:graphic>
              <a:graphicData uri="http://schemas.openxmlformats.org/drawingml/2006/picture">
                <pic:pic>
                  <pic:nvPicPr>
                    <pic:cNvPr descr="2000-2002.jpeg" id="0" name="image02.jpg"/>
                    <pic:cNvPicPr preferRelativeResize="0"/>
                  </pic:nvPicPr>
                  <pic:blipFill>
                    <a:blip r:embed="rId5"/>
                    <a:srcRect b="6444" l="3685" r="7035" t="4540"/>
                    <a:stretch>
                      <a:fillRect/>
                    </a:stretch>
                  </pic:blipFill>
                  <pic:spPr>
                    <a:xfrm>
                      <a:off x="0" y="0"/>
                      <a:ext cx="2900363" cy="2242453"/>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2841678</wp:posOffset>
            </wp:positionH>
            <wp:positionV relativeFrom="paragraph">
              <wp:posOffset>142875</wp:posOffset>
            </wp:positionV>
            <wp:extent cx="2987622" cy="2238375"/>
            <wp:effectExtent b="0" l="0" r="0" t="0"/>
            <wp:wrapTopAndBottom distB="114300" distT="114300"/>
            <wp:docPr descr="2012-2014.jpeg" id="2" name="image03.jpg"/>
            <a:graphic>
              <a:graphicData uri="http://schemas.openxmlformats.org/drawingml/2006/picture">
                <pic:pic>
                  <pic:nvPicPr>
                    <pic:cNvPr descr="2012-2014.jpeg" id="0" name="image03.jpg"/>
                    <pic:cNvPicPr preferRelativeResize="0"/>
                  </pic:nvPicPr>
                  <pic:blipFill>
                    <a:blip r:embed="rId6"/>
                    <a:srcRect b="7024" l="3365" r="4807" t="4582"/>
                    <a:stretch>
                      <a:fillRect/>
                    </a:stretch>
                  </pic:blipFill>
                  <pic:spPr>
                    <a:xfrm>
                      <a:off x="0" y="0"/>
                      <a:ext cx="2987622" cy="223837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4365.0" w:type="dxa"/>
        <w:jc w:val="left"/>
        <w:tblInd w:w="16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545"/>
        <w:gridCol w:w="1545"/>
        <w:tblGridChange w:id="0">
          <w:tblGrid>
            <w:gridCol w:w="1275"/>
            <w:gridCol w:w="1545"/>
            <w:gridCol w:w="1545"/>
          </w:tblGrid>
        </w:tblGridChange>
      </w:tblGrid>
      <w:tr>
        <w:trPr>
          <w:trHeight w:val="46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 Summary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2000 - 2002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2012 - 2014</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Min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8.50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6.20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1st Q</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10.23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8.00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Med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15.60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12.05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3rd Q</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21.38</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16.38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Max</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24.50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18.00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Mean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15.97</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12.19</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is the computer output from the data analysis: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Welch Two Sample t-test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data:  first and second</w:t>
      </w:r>
    </w:p>
    <w:p w:rsidR="00000000" w:rsidDel="00000000" w:rsidP="00000000" w:rsidRDefault="00000000" w:rsidRPr="00000000">
      <w:pPr>
        <w:contextualSpacing w:val="0"/>
      </w:pPr>
      <w:r w:rsidDel="00000000" w:rsidR="00000000" w:rsidRPr="00000000">
        <w:rPr>
          <w:rtl w:val="0"/>
        </w:rPr>
        <w:t xml:space="preserve">t = 1.569, df = 16.687, p-value = 0.1354</w:t>
      </w:r>
    </w:p>
    <w:p w:rsidR="00000000" w:rsidDel="00000000" w:rsidP="00000000" w:rsidRDefault="00000000" w:rsidRPr="00000000">
      <w:pPr>
        <w:contextualSpacing w:val="0"/>
      </w:pPr>
      <w:r w:rsidDel="00000000" w:rsidR="00000000" w:rsidRPr="00000000">
        <w:rPr>
          <w:rtl w:val="0"/>
        </w:rPr>
        <w:t xml:space="preserve">alternative hypothesis: true difference in means is not equal to 0</w:t>
      </w:r>
    </w:p>
    <w:p w:rsidR="00000000" w:rsidDel="00000000" w:rsidP="00000000" w:rsidRDefault="00000000" w:rsidRPr="00000000">
      <w:pPr>
        <w:contextualSpacing w:val="0"/>
      </w:pPr>
      <w:r w:rsidDel="00000000" w:rsidR="00000000" w:rsidRPr="00000000">
        <w:rPr>
          <w:rtl w:val="0"/>
        </w:rPr>
        <w:t xml:space="preserve">95 percent confidence interval:</w:t>
      </w:r>
    </w:p>
    <w:p w:rsidR="00000000" w:rsidDel="00000000" w:rsidP="00000000" w:rsidRDefault="00000000" w:rsidRPr="00000000">
      <w:pPr>
        <w:contextualSpacing w:val="0"/>
      </w:pPr>
      <w:r w:rsidDel="00000000" w:rsidR="00000000" w:rsidRPr="00000000">
        <w:rPr>
          <w:rtl w:val="0"/>
        </w:rPr>
        <w:t xml:space="preserve"> -1.310175  8.870175</w:t>
      </w:r>
    </w:p>
    <w:p w:rsidR="00000000" w:rsidDel="00000000" w:rsidP="00000000" w:rsidRDefault="00000000" w:rsidRPr="00000000">
      <w:pPr>
        <w:contextualSpacing w:val="0"/>
      </w:pPr>
      <w:r w:rsidDel="00000000" w:rsidR="00000000" w:rsidRPr="00000000">
        <w:rPr>
          <w:rtl w:val="0"/>
        </w:rPr>
        <w:t xml:space="preserve">sample estimates:</w:t>
      </w:r>
    </w:p>
    <w:p w:rsidR="00000000" w:rsidDel="00000000" w:rsidP="00000000" w:rsidRDefault="00000000" w:rsidRPr="00000000">
      <w:pPr>
        <w:contextualSpacing w:val="0"/>
      </w:pPr>
      <w:r w:rsidDel="00000000" w:rsidR="00000000" w:rsidRPr="00000000">
        <w:rPr>
          <w:rtl w:val="0"/>
        </w:rPr>
        <w:t xml:space="preserve">mean of x mean of y </w:t>
      </w:r>
    </w:p>
    <w:p w:rsidR="00000000" w:rsidDel="00000000" w:rsidP="00000000" w:rsidRDefault="00000000" w:rsidRPr="00000000">
      <w:pPr>
        <w:contextualSpacing w:val="0"/>
      </w:pPr>
      <w:r w:rsidDel="00000000" w:rsidR="00000000" w:rsidRPr="00000000">
        <w:rPr>
          <w:rtl w:val="0"/>
        </w:rPr>
        <w:t xml:space="preserve">    15.97     12.19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Decision</w:t>
      </w:r>
    </w:p>
    <w:p w:rsidR="00000000" w:rsidDel="00000000" w:rsidP="00000000" w:rsidRDefault="00000000" w:rsidRPr="00000000">
      <w:pPr>
        <w:ind w:firstLine="720"/>
        <w:contextualSpacing w:val="0"/>
      </w:pPr>
      <w:r w:rsidDel="00000000" w:rsidR="00000000" w:rsidRPr="00000000">
        <w:rPr>
          <w:rtl w:val="0"/>
        </w:rPr>
        <w:t xml:space="preserve">Since the p value of 0.1354 is bigger than the standard value 0.05 level of significance we fail to reject the null hypothesis and conclude that there is no significant difference in the rates of motor vehicle deaths from the year range 2000 - 2002 and the year range 2012 - 2014. The 95% confidence interval for the difference in motor vehicle death rates is (-1.31, 8.87).</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Discussion</w:t>
      </w:r>
    </w:p>
    <w:p w:rsidR="00000000" w:rsidDel="00000000" w:rsidP="00000000" w:rsidRDefault="00000000" w:rsidRPr="00000000">
      <w:pPr>
        <w:ind w:left="0" w:firstLine="0"/>
        <w:contextualSpacing w:val="0"/>
      </w:pPr>
      <w:r w:rsidDel="00000000" w:rsidR="00000000" w:rsidRPr="00000000">
        <w:rPr>
          <w:rtl w:val="0"/>
        </w:rPr>
        <w:tab/>
        <w:t xml:space="preserve">Initially it seemed as if the rate of motor vehicle deaths had decreased from 2000-2002 to 2012-2014. The former had an average rate of 15.97 while the latter had an average rate of 12.19. However after performing hypothesis testing, the difference is these values was shown to not be statistically significant. It is possible that the sample size was not large enough, I only included 10 randoms states in my statistics instead of all 50.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2.jpg"/><Relationship Id="rId6" Type="http://schemas.openxmlformats.org/officeDocument/2006/relationships/image" Target="media/image03.jpg"/></Relationships>
</file>